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rFonts w:ascii="Open Sans" w:cs="Open Sans" w:eastAsia="Open Sans" w:hAnsi="Open Sans"/>
        </w:rPr>
      </w:pPr>
      <w:r w:rsidDel="00000000" w:rsidR="00000000" w:rsidRPr="00000000">
        <w:rPr>
          <w:rFonts w:ascii="Open Sans" w:cs="Open Sans" w:eastAsia="Open Sans" w:hAnsi="Open Sans"/>
          <w:rtl w:val="0"/>
        </w:rPr>
        <w:t xml:space="preserve">Pravidla hodnocení výsledků vzdělávání a chování žáků</w:t>
      </w:r>
      <w:r w:rsidDel="00000000" w:rsidR="00000000" w:rsidRPr="00000000">
        <w:rPr>
          <w:rtl w:val="0"/>
        </w:rPr>
      </w:r>
    </w:p>
    <w:p w:rsidR="00000000" w:rsidDel="00000000" w:rsidP="00000000" w:rsidRDefault="00000000" w:rsidRPr="00000000" w14:paraId="00000002">
      <w:pPr>
        <w:pStyle w:val="Heading2"/>
        <w:pageBreakBefore w:val="0"/>
        <w:rPr>
          <w:rFonts w:ascii="Open Sans" w:cs="Open Sans" w:eastAsia="Open Sans" w:hAnsi="Open Sans"/>
        </w:rPr>
      </w:pPr>
      <w:r w:rsidDel="00000000" w:rsidR="00000000" w:rsidRPr="00000000">
        <w:rPr>
          <w:rFonts w:ascii="Open Sans" w:cs="Open Sans" w:eastAsia="Open Sans" w:hAnsi="Open Sans"/>
          <w:rtl w:val="0"/>
        </w:rPr>
        <w:t xml:space="preserve">Článek I. </w:t>
      </w:r>
      <w:r w:rsidDel="00000000" w:rsidR="00000000" w:rsidRPr="00000000">
        <w:rPr>
          <w:rFonts w:ascii="Open Sans" w:cs="Open Sans" w:eastAsia="Open Sans" w:hAnsi="Open Sans"/>
          <w:rtl w:val="0"/>
        </w:rPr>
        <w:t xml:space="preserve">Zásady a obecná pravidla hodnocení</w:t>
      </w:r>
    </w:p>
    <w:p w:rsidR="00000000" w:rsidDel="00000000" w:rsidP="00000000" w:rsidRDefault="00000000" w:rsidRPr="00000000" w14:paraId="0000000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Hodnocení průběhu a výsledků vzdělávání a chování žáků musí být jednoznačné, srovnatelné s předem stanovenými cíli a kritérii, srozumitelné, věcné a pedagogicky odůvodnitelné. Hodnocení vychází z jasných cílů a úkolů v jednotlivých oblastech a etapách vzdělávání.</w:t>
      </w:r>
    </w:p>
    <w:p w:rsidR="00000000" w:rsidDel="00000000" w:rsidP="00000000" w:rsidRDefault="00000000" w:rsidRPr="00000000" w14:paraId="0000000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Hodnocení:</w:t>
      </w:r>
    </w:p>
    <w:p w:rsidR="00000000" w:rsidDel="00000000" w:rsidP="00000000" w:rsidRDefault="00000000" w:rsidRPr="00000000" w14:paraId="0000000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zdůrazňuje individuální pokrok žáka;</w:t>
      </w:r>
    </w:p>
    <w:p w:rsidR="00000000" w:rsidDel="00000000" w:rsidP="00000000" w:rsidRDefault="00000000" w:rsidRPr="00000000" w14:paraId="0000000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popisuje konkrétní zvládnuté oblasti vzdělávání;</w:t>
      </w:r>
    </w:p>
    <w:p w:rsidR="00000000" w:rsidDel="00000000" w:rsidP="00000000" w:rsidRDefault="00000000" w:rsidRPr="00000000" w14:paraId="0000000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podněcuje žáka k dalšímu rozvoji - ukazuje další cestu;</w:t>
      </w:r>
    </w:p>
    <w:p w:rsidR="00000000" w:rsidDel="00000000" w:rsidP="00000000" w:rsidRDefault="00000000" w:rsidRPr="00000000" w14:paraId="0000000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je v podstatné míře spoluvytvářeno žákem samotným (sebehodnocením) a jeho rodiči.</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i w:val="0"/>
          <w:smallCaps w:val="0"/>
          <w:strike w:val="0"/>
          <w:color w:val="000000"/>
          <w:sz w:val="22"/>
          <w:szCs w:val="22"/>
          <w:vertAlign w:val="baseline"/>
        </w:rPr>
      </w:pPr>
      <w:r w:rsidDel="00000000" w:rsidR="00000000" w:rsidRPr="00000000">
        <w:rPr>
          <w:rFonts w:ascii="Open Sans" w:cs="Open Sans" w:eastAsia="Open Sans" w:hAnsi="Open Sans"/>
          <w:i w:val="0"/>
          <w:smallCaps w:val="0"/>
          <w:strike w:val="0"/>
          <w:color w:val="000000"/>
          <w:sz w:val="22"/>
          <w:szCs w:val="22"/>
          <w:u w:val="none"/>
          <w:vertAlign w:val="baseline"/>
          <w:rtl w:val="0"/>
        </w:rPr>
        <w:t xml:space="preserve">Hodnocení výsledků vzdělávání žáků se člení na:</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průběžné ústní hodnocení, zahrnující vzájemnou zpětnou vazbu</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u w:val="none"/>
        </w:rPr>
      </w:pPr>
      <w:r w:rsidDel="00000000" w:rsidR="00000000" w:rsidRPr="00000000">
        <w:rPr>
          <w:rFonts w:ascii="Open Sans" w:cs="Open Sans" w:eastAsia="Open Sans" w:hAnsi="Open Sans"/>
          <w:rtl w:val="0"/>
        </w:rPr>
        <w:t xml:space="preserve">individuální mentorské rozhovory;</w:t>
      </w:r>
    </w:p>
    <w:p w:rsidR="00000000" w:rsidDel="00000000" w:rsidP="00000000" w:rsidRDefault="00000000" w:rsidRPr="00000000" w14:paraId="0000000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tripartitní setkání;</w:t>
      </w:r>
    </w:p>
    <w:p w:rsidR="00000000" w:rsidDel="00000000" w:rsidP="00000000" w:rsidRDefault="00000000" w:rsidRPr="00000000" w14:paraId="0000000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0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slovní hodnocení na vysvědčení.</w:t>
      </w:r>
    </w:p>
    <w:p w:rsidR="00000000" w:rsidDel="00000000" w:rsidP="00000000" w:rsidRDefault="00000000" w:rsidRPr="00000000" w14:paraId="0000000E">
      <w:pPr>
        <w:pageBreakBefore w:val="0"/>
        <w:widowControl w:val="0"/>
        <w:numPr>
          <w:ilvl w:val="0"/>
          <w:numId w:val="2"/>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Zákonní zástupci jsou o průběhu a výsledcích vzdělávání žáka informováni především prostřednictvím:</w:t>
      </w:r>
      <w:r w:rsidDel="00000000" w:rsidR="00000000" w:rsidRPr="00000000">
        <w:rPr>
          <w:rtl w:val="0"/>
        </w:rPr>
      </w:r>
    </w:p>
    <w:p w:rsidR="00000000" w:rsidDel="00000000" w:rsidP="00000000" w:rsidRDefault="00000000" w:rsidRPr="00000000" w14:paraId="0000000F">
      <w:pPr>
        <w:pageBreakBefore w:val="0"/>
        <w:widowControl w:val="0"/>
        <w:numPr>
          <w:ilvl w:val="0"/>
          <w:numId w:val="6"/>
        </w:numPr>
        <w:ind w:left="1440" w:hanging="360"/>
        <w:jc w:val="both"/>
        <w:rPr>
          <w:rFonts w:ascii="Open Sans" w:cs="Open Sans" w:eastAsia="Open Sans" w:hAnsi="Open Sans"/>
        </w:rPr>
      </w:pPr>
      <w:r w:rsidDel="00000000" w:rsidR="00000000" w:rsidRPr="00000000">
        <w:rPr>
          <w:rFonts w:ascii="Open Sans" w:cs="Open Sans" w:eastAsia="Open Sans" w:hAnsi="Open Sans"/>
          <w:rtl w:val="0"/>
        </w:rPr>
        <w:t xml:space="preserve">tripartitních osobních setkání;</w:t>
      </w:r>
    </w:p>
    <w:p w:rsidR="00000000" w:rsidDel="00000000" w:rsidP="00000000" w:rsidRDefault="00000000" w:rsidRPr="00000000" w14:paraId="00000010">
      <w:pPr>
        <w:pageBreakBefore w:val="0"/>
        <w:widowControl w:val="0"/>
        <w:numPr>
          <w:ilvl w:val="0"/>
          <w:numId w:val="6"/>
        </w:numPr>
        <w:ind w:left="1440" w:hanging="360"/>
        <w:jc w:val="both"/>
        <w:rPr>
          <w:rFonts w:ascii="Open Sans" w:cs="Open Sans" w:eastAsia="Open Sans" w:hAnsi="Open Sans"/>
        </w:rPr>
      </w:pPr>
      <w:r w:rsidDel="00000000" w:rsidR="00000000" w:rsidRPr="00000000">
        <w:rPr>
          <w:rFonts w:ascii="Open Sans" w:cs="Open Sans" w:eastAsia="Open Sans" w:hAnsi="Open Sans"/>
          <w:rtl w:val="0"/>
        </w:rPr>
        <w:t xml:space="preserve">vysvědčení vydávaného na konci každého pololetí;</w:t>
      </w:r>
    </w:p>
    <w:p w:rsidR="00000000" w:rsidDel="00000000" w:rsidP="00000000" w:rsidRDefault="00000000" w:rsidRPr="00000000" w14:paraId="00000011">
      <w:pPr>
        <w:pageBreakBefore w:val="0"/>
        <w:widowControl w:val="0"/>
        <w:numPr>
          <w:ilvl w:val="0"/>
          <w:numId w:val="6"/>
        </w:numPr>
        <w:spacing w:after="100" w:lineRule="auto"/>
        <w:ind w:left="1440" w:hanging="360"/>
        <w:jc w:val="both"/>
        <w:rPr>
          <w:rFonts w:ascii="Open Sans" w:cs="Open Sans" w:eastAsia="Open Sans" w:hAnsi="Open Sans"/>
        </w:rPr>
      </w:pPr>
      <w:r w:rsidDel="00000000" w:rsidR="00000000" w:rsidRPr="00000000">
        <w:rPr>
          <w:rFonts w:ascii="Open Sans" w:cs="Open Sans" w:eastAsia="Open Sans" w:hAnsi="Open Sans"/>
          <w:rtl w:val="0"/>
        </w:rPr>
        <w:t xml:space="preserve">individuálně domluvených schůzek s průvodci.</w:t>
      </w:r>
    </w:p>
    <w:p w:rsidR="00000000" w:rsidDel="00000000" w:rsidP="00000000" w:rsidRDefault="00000000" w:rsidRPr="00000000" w14:paraId="00000012">
      <w:pPr>
        <w:pStyle w:val="Heading2"/>
        <w:pageBreakBefore w:val="0"/>
        <w:rPr>
          <w:rFonts w:ascii="Open Sans" w:cs="Open Sans" w:eastAsia="Open Sans" w:hAnsi="Open Sans"/>
          <w:b w:val="1"/>
          <w:color w:val="808080"/>
        </w:rPr>
      </w:pPr>
      <w:bookmarkStart w:colFirst="0" w:colLast="0" w:name="_fztk485aizc2" w:id="0"/>
      <w:bookmarkEnd w:id="0"/>
      <w:r w:rsidDel="00000000" w:rsidR="00000000" w:rsidRPr="00000000">
        <w:rPr>
          <w:rFonts w:ascii="Open Sans" w:cs="Open Sans" w:eastAsia="Open Sans" w:hAnsi="Open Sans"/>
          <w:rtl w:val="0"/>
        </w:rPr>
        <w:t xml:space="preserve">Článek II. </w:t>
      </w:r>
      <w:r w:rsidDel="00000000" w:rsidR="00000000" w:rsidRPr="00000000">
        <w:rPr>
          <w:rFonts w:ascii="Open Sans" w:cs="Open Sans" w:eastAsia="Open Sans" w:hAnsi="Open Sans"/>
          <w:rtl w:val="0"/>
        </w:rPr>
        <w:t xml:space="preserve">Kritéria hodnocení</w:t>
      </w:r>
      <w:r w:rsidDel="00000000" w:rsidR="00000000" w:rsidRPr="00000000">
        <w:rPr>
          <w:rtl w:val="0"/>
        </w:rPr>
      </w:r>
    </w:p>
    <w:p w:rsidR="00000000" w:rsidDel="00000000" w:rsidP="00000000" w:rsidRDefault="00000000" w:rsidRPr="00000000" w14:paraId="00000013">
      <w:pPr>
        <w:widowControl w:val="0"/>
        <w:ind w:left="0" w:firstLine="0"/>
        <w:jc w:val="both"/>
        <w:rPr>
          <w:rFonts w:ascii="Open Sans" w:cs="Open Sans" w:eastAsia="Open Sans" w:hAnsi="Open Sans"/>
        </w:rPr>
      </w:pPr>
      <w:r w:rsidDel="00000000" w:rsidR="00000000" w:rsidRPr="00000000">
        <w:rPr>
          <w:rFonts w:ascii="Open Sans" w:cs="Open Sans" w:eastAsia="Open Sans" w:hAnsi="Open Sans"/>
          <w:rtl w:val="0"/>
        </w:rPr>
        <w:t xml:space="preserve">Hodnocení obsahuje zejména informace o míře splnění následujících kritérií s ohledem na individuální možnosti a věk žáka. Kritériem je naplňování očekávaných výstupů formulovaných v jednotlivých předmětech školního vzdělávacího programu</w:t>
      </w:r>
      <w:r w:rsidDel="00000000" w:rsidR="00000000" w:rsidRPr="00000000">
        <w:rPr>
          <w:rtl w:val="0"/>
        </w:rPr>
      </w:r>
    </w:p>
    <w:p w:rsidR="00000000" w:rsidDel="00000000" w:rsidP="00000000" w:rsidRDefault="00000000" w:rsidRPr="00000000" w14:paraId="00000014">
      <w:pPr>
        <w:pageBreakBefore w:val="0"/>
        <w:widowControl w:val="0"/>
        <w:spacing w:after="100" w:lineRule="auto"/>
        <w:jc w:val="both"/>
        <w:rPr>
          <w:rFonts w:ascii="Open Sans" w:cs="Open Sans" w:eastAsia="Open Sans" w:hAnsi="Open Sans"/>
          <w:b w:val="1"/>
          <w:color w:val="808080"/>
        </w:rPr>
      </w:pPr>
      <w:r w:rsidDel="00000000" w:rsidR="00000000" w:rsidRPr="00000000">
        <w:rPr>
          <w:rtl w:val="0"/>
        </w:rPr>
      </w:r>
    </w:p>
    <w:p w:rsidR="00000000" w:rsidDel="00000000" w:rsidP="00000000" w:rsidRDefault="00000000" w:rsidRPr="00000000" w14:paraId="00000015">
      <w:pPr>
        <w:pageBreakBefore w:val="0"/>
        <w:widowControl w:val="0"/>
        <w:spacing w:after="100" w:lineRule="auto"/>
        <w:jc w:val="center"/>
        <w:rPr>
          <w:rFonts w:ascii="Open Sans" w:cs="Open Sans" w:eastAsia="Open Sans" w:hAnsi="Open Sans"/>
          <w:color w:val="808080"/>
          <w:sz w:val="28"/>
          <w:szCs w:val="28"/>
        </w:rPr>
      </w:pPr>
      <w:r w:rsidDel="00000000" w:rsidR="00000000" w:rsidRPr="00000000">
        <w:rPr>
          <w:rtl w:val="0"/>
        </w:rPr>
      </w:r>
    </w:p>
    <w:p w:rsidR="00000000" w:rsidDel="00000000" w:rsidP="00000000" w:rsidRDefault="00000000" w:rsidRPr="00000000" w14:paraId="00000016">
      <w:pPr>
        <w:pageBreakBefore w:val="0"/>
        <w:widowControl w:val="0"/>
        <w:spacing w:after="100" w:lineRule="auto"/>
        <w:jc w:val="center"/>
        <w:rPr>
          <w:rFonts w:ascii="Open Sans" w:cs="Open Sans" w:eastAsia="Open Sans" w:hAnsi="Open Sans"/>
          <w:color w:val="808080"/>
          <w:sz w:val="28"/>
          <w:szCs w:val="28"/>
        </w:rPr>
      </w:pPr>
      <w:r w:rsidDel="00000000" w:rsidR="00000000" w:rsidRPr="00000000">
        <w:rPr>
          <w:rtl w:val="0"/>
        </w:rPr>
      </w:r>
    </w:p>
    <w:p w:rsidR="00000000" w:rsidDel="00000000" w:rsidP="00000000" w:rsidRDefault="00000000" w:rsidRPr="00000000" w14:paraId="00000017">
      <w:pPr>
        <w:pageBreakBefore w:val="0"/>
        <w:widowControl w:val="0"/>
        <w:spacing w:after="100" w:lineRule="auto"/>
        <w:jc w:val="center"/>
        <w:rPr>
          <w:rFonts w:ascii="Open Sans" w:cs="Open Sans" w:eastAsia="Open Sans" w:hAnsi="Open Sans"/>
          <w:b w:val="1"/>
          <w:color w:val="808080"/>
        </w:rPr>
      </w:pPr>
      <w:r w:rsidDel="00000000" w:rsidR="00000000" w:rsidRPr="00000000">
        <w:rPr>
          <w:rFonts w:ascii="Open Sans" w:cs="Open Sans" w:eastAsia="Open Sans" w:hAnsi="Open Sans"/>
          <w:color w:val="808080"/>
          <w:sz w:val="28"/>
          <w:szCs w:val="28"/>
          <w:rtl w:val="0"/>
        </w:rPr>
        <w:t xml:space="preserve">Článek III. </w:t>
      </w:r>
      <w:r w:rsidDel="00000000" w:rsidR="00000000" w:rsidRPr="00000000">
        <w:rPr>
          <w:rFonts w:ascii="Open Sans" w:cs="Open Sans" w:eastAsia="Open Sans" w:hAnsi="Open Sans"/>
          <w:color w:val="808080"/>
          <w:sz w:val="28"/>
          <w:szCs w:val="28"/>
          <w:rtl w:val="0"/>
        </w:rPr>
        <w:t xml:space="preserve">Podklady pro hodnocení</w:t>
      </w:r>
      <w:r w:rsidDel="00000000" w:rsidR="00000000" w:rsidRPr="00000000">
        <w:rPr>
          <w:rtl w:val="0"/>
        </w:rPr>
      </w:r>
    </w:p>
    <w:p w:rsidR="00000000" w:rsidDel="00000000" w:rsidP="00000000" w:rsidRDefault="00000000" w:rsidRPr="00000000" w14:paraId="00000018">
      <w:pPr>
        <w:pageBreakBefore w:val="0"/>
        <w:widowControl w:val="0"/>
        <w:ind w:left="0" w:firstLine="0"/>
        <w:rPr>
          <w:rFonts w:ascii="Open Sans" w:cs="Open Sans" w:eastAsia="Open Sans" w:hAnsi="Open Sans"/>
        </w:rPr>
      </w:pPr>
      <w:r w:rsidDel="00000000" w:rsidR="00000000" w:rsidRPr="00000000">
        <w:rPr>
          <w:rFonts w:ascii="Open Sans" w:cs="Open Sans" w:eastAsia="Open Sans" w:hAnsi="Open Sans"/>
          <w:rtl w:val="0"/>
        </w:rPr>
        <w:t xml:space="preserve">Podklady pro hodnocení žáka tvoří především:</w:t>
      </w:r>
    </w:p>
    <w:p w:rsidR="00000000" w:rsidDel="00000000" w:rsidP="00000000" w:rsidRDefault="00000000" w:rsidRPr="00000000" w14:paraId="00000019">
      <w:pPr>
        <w:pageBreakBefore w:val="0"/>
        <w:widowControl w:val="0"/>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žákem vytvořené výstupy (písemné práce, výrobky, multimediální záznamy atd.)</w:t>
      </w:r>
      <w:r w:rsidDel="00000000" w:rsidR="00000000" w:rsidRPr="00000000">
        <w:rPr>
          <w:rtl w:val="0"/>
        </w:rPr>
      </w:r>
    </w:p>
    <w:p w:rsidR="00000000" w:rsidDel="00000000" w:rsidP="00000000" w:rsidRDefault="00000000" w:rsidRPr="00000000" w14:paraId="0000001A">
      <w:pPr>
        <w:pageBreakBefore w:val="0"/>
        <w:widowControl w:val="0"/>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záznamy</w:t>
      </w:r>
      <w:r w:rsidDel="00000000" w:rsidR="00000000" w:rsidRPr="00000000">
        <w:rPr>
          <w:rFonts w:ascii="Open Sans" w:cs="Open Sans" w:eastAsia="Open Sans" w:hAnsi="Open Sans"/>
          <w:rtl w:val="0"/>
        </w:rPr>
        <w:t xml:space="preserve"> průvodců k práci žáka,</w:t>
      </w:r>
    </w:p>
    <w:p w:rsidR="00000000" w:rsidDel="00000000" w:rsidP="00000000" w:rsidRDefault="00000000" w:rsidRPr="00000000" w14:paraId="0000001B">
      <w:pPr>
        <w:pageBreakBefore w:val="0"/>
        <w:widowControl w:val="0"/>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mentorské individuální rozhovory.</w:t>
      </w:r>
      <w:r w:rsidDel="00000000" w:rsidR="00000000" w:rsidRPr="00000000">
        <w:rPr>
          <w:rtl w:val="0"/>
        </w:rPr>
      </w:r>
    </w:p>
    <w:p w:rsidR="00000000" w:rsidDel="00000000" w:rsidP="00000000" w:rsidRDefault="00000000" w:rsidRPr="00000000" w14:paraId="0000001C">
      <w:pPr>
        <w:pageBreakBefore w:val="0"/>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pageBreakBefore w:val="0"/>
        <w:widowControl w:val="0"/>
        <w:spacing w:after="100" w:lineRule="auto"/>
        <w:jc w:val="center"/>
        <w:rPr>
          <w:rFonts w:ascii="Open Sans" w:cs="Open Sans" w:eastAsia="Open Sans" w:hAnsi="Open Sans"/>
        </w:rPr>
      </w:pPr>
      <w:r w:rsidDel="00000000" w:rsidR="00000000" w:rsidRPr="00000000">
        <w:rPr>
          <w:rFonts w:ascii="Open Sans" w:cs="Open Sans" w:eastAsia="Open Sans" w:hAnsi="Open Sans"/>
          <w:color w:val="808080"/>
          <w:sz w:val="28"/>
          <w:szCs w:val="28"/>
          <w:rtl w:val="0"/>
        </w:rPr>
        <w:t xml:space="preserve">Článek IV. </w:t>
      </w:r>
      <w:r w:rsidDel="00000000" w:rsidR="00000000" w:rsidRPr="00000000">
        <w:rPr>
          <w:rFonts w:ascii="Open Sans" w:cs="Open Sans" w:eastAsia="Open Sans" w:hAnsi="Open Sans"/>
          <w:color w:val="808080"/>
          <w:sz w:val="28"/>
          <w:szCs w:val="28"/>
          <w:rtl w:val="0"/>
        </w:rPr>
        <w:t xml:space="preserve">Průběžné ústní hodnocení</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Open Sans" w:cs="Open Sans" w:eastAsia="Open Sans" w:hAnsi="Open Sans"/>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Průběžné ústní hodnocení a vzájemná zpětná vazba se odehrává v první řadě průběžným poskytováním ústní zpětné vazby mezi průvodcem a žákem. Tento proces je neformální a vzájemný. Zpětnou vazbu poskytuje průvodce žákovi stejně jako žák průvodci. Ústní hodnocení a zpětná vazba je nedílnou součástí každodenního života školy a odehrává se pomocí různých metod a technik. Cílem tohoto typu hodnocení je bezprostřední poskytnutí informací a postřehů ke konkrétním aktivitám žáka.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pageBreakBefore w:val="0"/>
        <w:widowControl w:val="0"/>
        <w:spacing w:after="100" w:lineRule="auto"/>
        <w:jc w:val="center"/>
        <w:rPr>
          <w:rFonts w:ascii="Open Sans" w:cs="Open Sans" w:eastAsia="Open Sans" w:hAnsi="Open Sans"/>
        </w:rPr>
      </w:pPr>
      <w:r w:rsidDel="00000000" w:rsidR="00000000" w:rsidRPr="00000000">
        <w:rPr>
          <w:rFonts w:ascii="Open Sans" w:cs="Open Sans" w:eastAsia="Open Sans" w:hAnsi="Open Sans"/>
          <w:color w:val="808080"/>
          <w:sz w:val="28"/>
          <w:szCs w:val="28"/>
          <w:rtl w:val="0"/>
        </w:rPr>
        <w:t xml:space="preserve">Článek V. </w:t>
      </w:r>
      <w:r w:rsidDel="00000000" w:rsidR="00000000" w:rsidRPr="00000000">
        <w:rPr>
          <w:rFonts w:ascii="Open Sans" w:cs="Open Sans" w:eastAsia="Open Sans" w:hAnsi="Open Sans"/>
          <w:color w:val="808080"/>
          <w:sz w:val="28"/>
          <w:szCs w:val="28"/>
          <w:rtl w:val="0"/>
        </w:rPr>
        <w:t xml:space="preserve">Individuální mentorské rozhovory</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Nejméně čtyřikrát za školní rok se setká individuálně průvodce a žák a společně diskutují nad tím, kam se žák posunul v jednotlivých oblastech rozvoje, na kterých oblastech rozvoje by žák chtěl a měl pracovat v příštím období (měsíc až tři měsíce). Zápis provádí průvodce a slouží jako podklad pro Tripartitní setkání a Hodnocení na vysvědčení.</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3">
      <w:pPr>
        <w:pageBreakBefore w:val="0"/>
        <w:widowControl w:val="0"/>
        <w:spacing w:after="100" w:lineRule="auto"/>
        <w:jc w:val="center"/>
        <w:rPr>
          <w:rFonts w:ascii="Open Sans" w:cs="Open Sans" w:eastAsia="Open Sans" w:hAnsi="Open Sans"/>
        </w:rPr>
      </w:pPr>
      <w:r w:rsidDel="00000000" w:rsidR="00000000" w:rsidRPr="00000000">
        <w:rPr>
          <w:rFonts w:ascii="Open Sans" w:cs="Open Sans" w:eastAsia="Open Sans" w:hAnsi="Open Sans"/>
          <w:color w:val="808080"/>
          <w:sz w:val="28"/>
          <w:szCs w:val="28"/>
          <w:rtl w:val="0"/>
        </w:rPr>
        <w:t xml:space="preserve">Článek VI. </w:t>
      </w:r>
      <w:r w:rsidDel="00000000" w:rsidR="00000000" w:rsidRPr="00000000">
        <w:rPr>
          <w:rFonts w:ascii="Open Sans" w:cs="Open Sans" w:eastAsia="Open Sans" w:hAnsi="Open Sans"/>
          <w:color w:val="808080"/>
          <w:sz w:val="28"/>
          <w:szCs w:val="28"/>
          <w:rtl w:val="0"/>
        </w:rPr>
        <w:t xml:space="preserve">Tripartitní setkání</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Open Sans" w:cs="Open Sans" w:eastAsia="Open Sans" w:hAnsi="Open Sans"/>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Nejméně dvakrát ročně se žák, průvodce a zákonní zástupci schází k osobnímu setkání, na kterém společně reflektují dosavadní vzdělávací proces žáka, plánují jeho další cíle a vzájemně si poskytují zpětnou vazbu a důležité informace.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6">
      <w:pPr>
        <w:pageBreakBefore w:val="0"/>
        <w:widowControl w:val="0"/>
        <w:spacing w:after="100" w:lineRule="auto"/>
        <w:jc w:val="center"/>
        <w:rPr>
          <w:rFonts w:ascii="Open Sans" w:cs="Open Sans" w:eastAsia="Open Sans" w:hAnsi="Open Sans"/>
        </w:rPr>
      </w:pPr>
      <w:r w:rsidDel="00000000" w:rsidR="00000000" w:rsidRPr="00000000">
        <w:rPr>
          <w:rFonts w:ascii="Open Sans" w:cs="Open Sans" w:eastAsia="Open Sans" w:hAnsi="Open Sans"/>
          <w:color w:val="808080"/>
          <w:sz w:val="28"/>
          <w:szCs w:val="28"/>
          <w:rtl w:val="0"/>
        </w:rPr>
        <w:t xml:space="preserve">Článek VII. </w:t>
      </w:r>
      <w:r w:rsidDel="00000000" w:rsidR="00000000" w:rsidRPr="00000000">
        <w:rPr>
          <w:rFonts w:ascii="Open Sans" w:cs="Open Sans" w:eastAsia="Open Sans" w:hAnsi="Open Sans"/>
          <w:color w:val="808080"/>
          <w:sz w:val="28"/>
          <w:szCs w:val="28"/>
          <w:rtl w:val="0"/>
        </w:rPr>
        <w:t xml:space="preserve">Hodnocení na vysvědčení</w:t>
      </w:r>
      <w:r w:rsidDel="00000000" w:rsidR="00000000" w:rsidRPr="00000000">
        <w:rPr>
          <w:rtl w:val="0"/>
        </w:rPr>
      </w:r>
    </w:p>
    <w:p w:rsidR="00000000" w:rsidDel="00000000" w:rsidP="00000000" w:rsidRDefault="00000000" w:rsidRPr="00000000" w14:paraId="00000027">
      <w:pPr>
        <w:pageBreakBefore w:val="0"/>
        <w:widowControl w:val="0"/>
        <w:numPr>
          <w:ilvl w:val="0"/>
          <w:numId w:val="1"/>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Je-li žák z výuky některého předmětu v souladu se školním řádem uvolněn, uvede se na vysvědčení pro tento předmět “uvolněn(a)”. Další ustanovení o hodnocení na vysvědčení se pro tento předmět neuplatní.</w:t>
      </w:r>
    </w:p>
    <w:p w:rsidR="00000000" w:rsidDel="00000000" w:rsidP="00000000" w:rsidRDefault="00000000" w:rsidRPr="00000000" w14:paraId="00000028">
      <w:pPr>
        <w:pageBreakBefore w:val="0"/>
        <w:widowControl w:val="0"/>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rPr>
      </w:pPr>
      <w:r w:rsidDel="00000000" w:rsidR="00000000" w:rsidRPr="00000000">
        <w:rPr>
          <w:rFonts w:ascii="Open Sans" w:cs="Open Sans" w:eastAsia="Open Sans" w:hAnsi="Open Sans"/>
          <w:rtl w:val="0"/>
        </w:rPr>
        <w:t xml:space="preserve">Za první pololetí se vydává žákovi vysvědčení obsahující </w:t>
      </w:r>
      <w:r w:rsidDel="00000000" w:rsidR="00000000" w:rsidRPr="00000000">
        <w:rPr>
          <w:rFonts w:ascii="Open Sans" w:cs="Open Sans" w:eastAsia="Open Sans" w:hAnsi="Open Sans"/>
          <w:rtl w:val="0"/>
        </w:rPr>
        <w:t xml:space="preserve">slovní písemné hodnocení za všechny předměty souhrnně</w:t>
      </w:r>
      <w:r w:rsidDel="00000000" w:rsidR="00000000" w:rsidRPr="00000000">
        <w:rPr>
          <w:rFonts w:ascii="Open Sans" w:cs="Open Sans" w:eastAsia="Open Sans" w:hAnsi="Open Sans"/>
          <w:rtl w:val="0"/>
        </w:rPr>
        <w:t xml:space="preserve"> nebo pro každý předmět zvlášť a slovní hodnocení chování. Za druhé pololetí se</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vydává žákovi vysvědčení obsahující písemné slovní hodnocení z každého z předmětů zvlášť a slovní hodnocení chování. Hodnocení žáka na vysvědčení splňuje v maximální možné mí</w:t>
      </w:r>
      <w:r w:rsidDel="00000000" w:rsidR="00000000" w:rsidRPr="00000000">
        <w:rPr>
          <w:rFonts w:ascii="Open Sans" w:cs="Open Sans" w:eastAsia="Open Sans" w:hAnsi="Open Sans"/>
          <w:rtl w:val="0"/>
        </w:rPr>
        <w:t xml:space="preserve">ře</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následující požadavky:</w:t>
      </w:r>
    </w:p>
    <w:p w:rsidR="00000000" w:rsidDel="00000000" w:rsidP="00000000" w:rsidRDefault="00000000" w:rsidRPr="00000000" w14:paraId="0000002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vychází z kritérií hodnocení stanovených v</w:t>
      </w:r>
      <w:r w:rsidDel="00000000" w:rsidR="00000000" w:rsidRPr="00000000">
        <w:rPr>
          <w:rFonts w:ascii="Open Sans" w:cs="Open Sans" w:eastAsia="Open Sans" w:hAnsi="Open Sans"/>
          <w:rtl w:val="0"/>
        </w:rPr>
        <w:t xml:space="preserve"> těchto pravidlech,</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obsahuje ocenění úspěchů žáka, zdůraznění jeho kvalit, upozornění na oblasti, na které je třeba se zaměřit, a naznačení dalšího rozvoje žáka;</w:t>
      </w:r>
    </w:p>
    <w:p w:rsidR="00000000" w:rsidDel="00000000" w:rsidP="00000000" w:rsidRDefault="00000000" w:rsidRPr="00000000" w14:paraId="0000002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obsahuje také doporučení, jak předcházet případným neúspěchům žáka a jak je překonávat;</w:t>
      </w:r>
    </w:p>
    <w:p w:rsidR="00000000" w:rsidDel="00000000" w:rsidP="00000000" w:rsidRDefault="00000000" w:rsidRPr="00000000" w14:paraId="0000002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je adresované žákovi a formulace jsou volené tak, aby mu byly srozumitelné;</w:t>
      </w:r>
    </w:p>
    <w:p w:rsidR="00000000" w:rsidDel="00000000" w:rsidP="00000000" w:rsidRDefault="00000000" w:rsidRPr="00000000" w14:paraId="0000002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je individualizované vzhledem ke vzdělávacím a osobnostním předpokladům žáka;</w:t>
      </w:r>
    </w:p>
    <w:p w:rsidR="00000000" w:rsidDel="00000000" w:rsidP="00000000" w:rsidRDefault="00000000" w:rsidRPr="00000000" w14:paraId="0000002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zahrnuje posouzení výsledků vzdělávání žáka v jeho vývoji;</w:t>
      </w:r>
    </w:p>
    <w:p w:rsidR="00000000" w:rsidDel="00000000" w:rsidP="00000000" w:rsidRDefault="00000000" w:rsidRPr="00000000" w14:paraId="000000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obsahuje ohodnocení snahy, zájmu žáka a jeho přístupu ke vzdělávání;</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76" w:lineRule="auto"/>
        <w:ind w:left="1440" w:right="0" w:hanging="360"/>
        <w:jc w:val="both"/>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zahrnuje prvky žákova sebehodnocení</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32">
      <w:pPr>
        <w:pageBreakBefore w:val="0"/>
        <w:widowControl w:val="0"/>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pageBreakBefore w:val="0"/>
        <w:widowControl w:val="0"/>
        <w:numPr>
          <w:ilvl w:val="0"/>
          <w:numId w:val="1"/>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Žáka nelze z předmětu hodnotit, není-li pro to dostatek podkladů, tedy nelze-li na základě shromážděných podkladů posoudit naplnění kritérií hodnocení. Nelze-li žáka hodnotit na konci prvního pololetí, určí ředitel školy pro jeho hodnocení náhradní termín, a to tak, aby hodnocení za první pololetí bylo provedeno nejpozději do dvou měsíců po skončení prvního pololetí. Není-li pro nedostatek podkladů možné hodnotit ani v náhradním termínu, žák se za první pololetí z předmětu nehodnotí. Nelze-li žáka hodnotit na konci druhého pololetí, určí ředitel školy pro jeho hodnocení náhradní termín, a to tak, aby hodnocení za druhé pololetí bylo provedeno nejpozději do konce září následujícího školního roku. Není-li pro nedostatek podkladů možné hodnotit ani v náhradním termínu, žák na konci druhého pololetí z předmětu neprospěl.</w:t>
      </w:r>
      <w:r w:rsidDel="00000000" w:rsidR="00000000" w:rsidRPr="00000000">
        <w:rPr>
          <w:rtl w:val="0"/>
        </w:rPr>
      </w:r>
    </w:p>
    <w:p w:rsidR="00000000" w:rsidDel="00000000" w:rsidP="00000000" w:rsidRDefault="00000000" w:rsidRPr="00000000" w14:paraId="00000034">
      <w:pPr>
        <w:pageBreakBefore w:val="0"/>
        <w:widowControl w:val="0"/>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5">
      <w:pPr>
        <w:pageBreakBefore w:val="0"/>
        <w:widowControl w:val="0"/>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6">
      <w:pPr>
        <w:pageBreakBefore w:val="0"/>
        <w:widowControl w:val="0"/>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7">
      <w:pPr>
        <w:pageBreakBefore w:val="0"/>
        <w:widowControl w:val="0"/>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8">
      <w:pPr>
        <w:pageBreakBefore w:val="0"/>
        <w:widowControl w:val="0"/>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9">
      <w:pPr>
        <w:pageBreakBefore w:val="0"/>
        <w:widowControl w:val="0"/>
        <w:ind w:left="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A">
      <w:pPr>
        <w:pageBreakBefore w:val="0"/>
        <w:widowControl w:val="0"/>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B">
      <w:pPr>
        <w:pageBreakBefore w:val="0"/>
        <w:widowControl w:val="0"/>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C">
      <w:pPr>
        <w:pageBreakBefore w:val="0"/>
        <w:numPr>
          <w:ilvl w:val="0"/>
          <w:numId w:val="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Při převádění slovního hodnocení na klasifikaci se v jednotlivých kritériích použije následující </w:t>
      </w:r>
      <w:r w:rsidDel="00000000" w:rsidR="00000000" w:rsidRPr="00000000">
        <w:rPr>
          <w:rFonts w:ascii="Open Sans" w:cs="Open Sans" w:eastAsia="Open Sans" w:hAnsi="Open Sans"/>
          <w:rtl w:val="0"/>
        </w:rPr>
        <w:t xml:space="preserve">stupnice</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3D">
      <w:pPr>
        <w:pageBreakBefore w:val="0"/>
        <w:spacing w:line="240" w:lineRule="auto"/>
        <w:ind w:left="720" w:firstLine="0"/>
        <w:rPr>
          <w:rFonts w:ascii="Open Sans" w:cs="Open Sans" w:eastAsia="Open Sans" w:hAnsi="Open Sans"/>
          <w:b w:val="1"/>
        </w:rPr>
      </w:pPr>
      <w:r w:rsidDel="00000000" w:rsidR="00000000" w:rsidRPr="00000000">
        <w:rPr>
          <w:rtl w:val="0"/>
        </w:rPr>
      </w:r>
    </w:p>
    <w:tbl>
      <w:tblPr>
        <w:tblStyle w:val="Table1"/>
        <w:tblW w:w="9638.0" w:type="dxa"/>
        <w:jc w:val="left"/>
        <w:tblInd w:w="-59.0" w:type="dxa"/>
        <w:tblBorders>
          <w:top w:color="808080" w:space="0" w:sz="2" w:val="single"/>
          <w:left w:color="808080" w:space="0" w:sz="2" w:val="single"/>
          <w:bottom w:color="808080" w:space="0" w:sz="2" w:val="single"/>
          <w:right w:color="808080" w:space="0" w:sz="2" w:val="single"/>
          <w:insideH w:color="808080" w:space="0" w:sz="2" w:val="single"/>
          <w:insideV w:color="808080" w:space="0" w:sz="2" w:val="single"/>
        </w:tblBorders>
        <w:tblLayout w:type="fixed"/>
        <w:tblLook w:val="0000"/>
      </w:tblPr>
      <w:tblGrid>
        <w:gridCol w:w="1932"/>
        <w:gridCol w:w="7706"/>
        <w:tblGridChange w:id="0">
          <w:tblGrid>
            <w:gridCol w:w="1932"/>
            <w:gridCol w:w="7706"/>
          </w:tblGrid>
        </w:tblGridChange>
      </w:tblGrid>
      <w:tr>
        <w:trPr>
          <w:cantSplit w:val="0"/>
          <w:trHeight w:val="390" w:hRule="atLeast"/>
          <w:tblHeader w:val="0"/>
        </w:trPr>
        <w:tc>
          <w:tcPr>
            <w:gridSpan w:val="2"/>
            <w:tcBorders>
              <w:top w:color="808080" w:space="0" w:sz="4" w:val="single"/>
              <w:left w:color="808080" w:space="0" w:sz="4" w:val="single"/>
              <w:bottom w:color="808080" w:space="0" w:sz="4" w:val="single"/>
              <w:right w:color="808080" w:space="0" w:sz="4" w:val="single"/>
            </w:tcBorders>
            <w:shd w:fill="auto" w:val="clear"/>
            <w:vAlign w:val="center"/>
          </w:tcPr>
          <w:p w:rsidR="00000000" w:rsidDel="00000000" w:rsidP="00000000" w:rsidRDefault="00000000" w:rsidRPr="00000000" w14:paraId="0000003E">
            <w:pPr>
              <w:pageBreakBefore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Žák naplňuje očekávané výstupy</w:t>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auto" w:val="clear"/>
            <w:vAlign w:val="center"/>
          </w:tcPr>
          <w:p w:rsidR="00000000" w:rsidDel="00000000" w:rsidP="00000000" w:rsidRDefault="00000000" w:rsidRPr="00000000" w14:paraId="00000040">
            <w:pPr>
              <w:pageBreakBefore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1 – výborný</w:t>
            </w:r>
          </w:p>
        </w:tc>
        <w:tc>
          <w:tcPr>
            <w:tcBorders>
              <w:top w:color="808080" w:space="0" w:sz="8" w:val="single"/>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41">
            <w:pPr>
              <w:pageBreakBefore w:val="0"/>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dokáže naplňovat veškeré nebo téměř všechny očekávané výstupy</w:t>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auto" w:val="clear"/>
            <w:vAlign w:val="center"/>
          </w:tcPr>
          <w:p w:rsidR="00000000" w:rsidDel="00000000" w:rsidP="00000000" w:rsidRDefault="00000000" w:rsidRPr="00000000" w14:paraId="00000042">
            <w:pPr>
              <w:pageBreakBefore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2 – chvalitebný</w:t>
            </w:r>
          </w:p>
        </w:tc>
        <w:tc>
          <w:tcPr>
            <w:tcBorders>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43">
            <w:pPr>
              <w:pageBreakBefore w:val="0"/>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dokáže naplňovat většinu očekávaných výstupů</w:t>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auto" w:val="clear"/>
            <w:vAlign w:val="center"/>
          </w:tcPr>
          <w:p w:rsidR="00000000" w:rsidDel="00000000" w:rsidP="00000000" w:rsidRDefault="00000000" w:rsidRPr="00000000" w14:paraId="00000044">
            <w:pPr>
              <w:pageBreakBefore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3 – dobrý</w:t>
            </w:r>
          </w:p>
        </w:tc>
        <w:tc>
          <w:tcPr>
            <w:tcBorders>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45">
            <w:pPr>
              <w:pageBreakBefore w:val="0"/>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dokáže podstatnou část očekávaných výstupů</w:t>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auto" w:val="clear"/>
            <w:vAlign w:val="center"/>
          </w:tcPr>
          <w:p w:rsidR="00000000" w:rsidDel="00000000" w:rsidP="00000000" w:rsidRDefault="00000000" w:rsidRPr="00000000" w14:paraId="00000046">
            <w:pPr>
              <w:pageBreakBefore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4 – dostatečný</w:t>
            </w:r>
          </w:p>
        </w:tc>
        <w:tc>
          <w:tcPr>
            <w:tcBorders>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47">
            <w:pPr>
              <w:pageBreakBefore w:val="0"/>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dokáže naplňovat alespoň některé z očekávaných výstupů</w:t>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auto" w:val="clear"/>
            <w:vAlign w:val="center"/>
          </w:tcPr>
          <w:p w:rsidR="00000000" w:rsidDel="00000000" w:rsidP="00000000" w:rsidRDefault="00000000" w:rsidRPr="00000000" w14:paraId="00000048">
            <w:pPr>
              <w:pageBreakBefore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5 - nedostatečný</w:t>
            </w:r>
          </w:p>
        </w:tc>
        <w:tc>
          <w:tcPr>
            <w:tcBorders>
              <w:left w:color="808080" w:space="0" w:sz="8" w:val="single"/>
              <w:bottom w:color="808080" w:space="0" w:sz="8" w:val="single"/>
              <w:right w:color="808080" w:space="0" w:sz="8" w:val="single"/>
            </w:tcBorders>
            <w:tcMar>
              <w:top w:w="100.0" w:type="dxa"/>
              <w:left w:w="100.0" w:type="dxa"/>
              <w:bottom w:w="100.0" w:type="dxa"/>
              <w:right w:w="100.0" w:type="dxa"/>
            </w:tcMar>
            <w:vAlign w:val="top"/>
          </w:tcPr>
          <w:p w:rsidR="00000000" w:rsidDel="00000000" w:rsidP="00000000" w:rsidRDefault="00000000" w:rsidRPr="00000000" w14:paraId="00000049">
            <w:pPr>
              <w:pageBreakBefore w:val="0"/>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nedokáže nebo téměř nedokáže naplňovat očekávané výstupy</w:t>
            </w:r>
          </w:p>
        </w:tc>
      </w:tr>
    </w:tbl>
    <w:p w:rsidR="00000000" w:rsidDel="00000000" w:rsidP="00000000" w:rsidRDefault="00000000" w:rsidRPr="00000000" w14:paraId="0000004A">
      <w:pPr>
        <w:pageBreakBefore w:val="0"/>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B">
      <w:pPr>
        <w:pageBreakBefore w:val="0"/>
        <w:widowControl w:val="0"/>
        <w:numPr>
          <w:ilvl w:val="0"/>
          <w:numId w:val="1"/>
        </w:numPr>
        <w:spacing w:after="100" w:lineRule="auto"/>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Žák z předmětu neprospěl, pokud by z něj </w:t>
      </w:r>
      <w:r w:rsidDel="00000000" w:rsidR="00000000" w:rsidRPr="00000000">
        <w:rPr>
          <w:rFonts w:ascii="Open Sans" w:cs="Open Sans" w:eastAsia="Open Sans" w:hAnsi="Open Sans"/>
          <w:highlight w:val="white"/>
          <w:rtl w:val="0"/>
        </w:rPr>
        <w:t xml:space="preserve">při postupu dle odstavce 4 byl hodnocen stupněm nedostatečný.</w:t>
      </w:r>
      <w:r w:rsidDel="00000000" w:rsidR="00000000" w:rsidRPr="00000000">
        <w:rPr>
          <w:rtl w:val="0"/>
        </w:rPr>
      </w:r>
    </w:p>
    <w:p w:rsidR="00000000" w:rsidDel="00000000" w:rsidP="00000000" w:rsidRDefault="00000000" w:rsidRPr="00000000" w14:paraId="0000004C">
      <w:pPr>
        <w:pageBreakBefore w:val="0"/>
        <w:widowControl w:val="0"/>
        <w:numPr>
          <w:ilvl w:val="0"/>
          <w:numId w:val="1"/>
        </w:numPr>
        <w:spacing w:after="100" w:lineRule="auto"/>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Žák, který na daném stupni základní školy dosud neopakoval ročník a který na konci školního roku neprospěl nejvýše ze dvou povinných předmětů, koná opravné zkoušky. Opravné zkoušky jsou komisionální. Žák, který nevykoná opravnou zkoušku úspěšně nebo se k jejímu konání nedostaví, z předmětu neprospěl.</w:t>
      </w:r>
      <w:r w:rsidDel="00000000" w:rsidR="00000000" w:rsidRPr="00000000">
        <w:rPr>
          <w:rtl w:val="0"/>
        </w:rPr>
      </w:r>
    </w:p>
    <w:p w:rsidR="00000000" w:rsidDel="00000000" w:rsidP="00000000" w:rsidRDefault="00000000" w:rsidRPr="00000000" w14:paraId="0000004D">
      <w:pPr>
        <w:pageBreakBefore w:val="0"/>
        <w:widowControl w:val="0"/>
        <w:numPr>
          <w:ilvl w:val="0"/>
          <w:numId w:val="1"/>
        </w:numPr>
        <w:ind w:left="720" w:hanging="360"/>
        <w:jc w:val="both"/>
        <w:rPr>
          <w:rFonts w:ascii="Open Sans" w:cs="Open Sans" w:eastAsia="Open Sans" w:hAnsi="Open Sans"/>
          <w:highlight w:val="white"/>
        </w:rPr>
      </w:pPr>
      <w:r w:rsidDel="00000000" w:rsidR="00000000" w:rsidRPr="00000000">
        <w:rPr>
          <w:rFonts w:ascii="Open Sans" w:cs="Open Sans" w:eastAsia="Open Sans" w:hAnsi="Open Sans"/>
          <w:i w:val="0"/>
          <w:smallCaps w:val="0"/>
          <w:strike w:val="0"/>
          <w:color w:val="000000"/>
          <w:sz w:val="22"/>
          <w:szCs w:val="22"/>
          <w:highlight w:val="white"/>
          <w:u w:val="none"/>
          <w:vertAlign w:val="baseline"/>
          <w:rtl w:val="0"/>
        </w:rPr>
        <w:t xml:space="preserve">Celkové hodnocení žáka se na vysvědčení vyjadřuje stupni:</w:t>
      </w:r>
    </w:p>
    <w:p w:rsidR="00000000" w:rsidDel="00000000" w:rsidP="00000000" w:rsidRDefault="00000000" w:rsidRPr="00000000" w14:paraId="0000004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highlight w:val="white"/>
          <w:vertAlign w:val="baseline"/>
        </w:rPr>
      </w:pPr>
      <w:r w:rsidDel="00000000" w:rsidR="00000000" w:rsidRPr="00000000">
        <w:rPr>
          <w:rFonts w:ascii="Open Sans" w:cs="Open Sans" w:eastAsia="Open Sans" w:hAnsi="Open Sans"/>
          <w:i w:val="0"/>
          <w:smallCaps w:val="0"/>
          <w:strike w:val="0"/>
          <w:color w:val="000000"/>
          <w:sz w:val="22"/>
          <w:szCs w:val="22"/>
          <w:highlight w:val="white"/>
          <w:u w:val="none"/>
          <w:vertAlign w:val="baseline"/>
          <w:rtl w:val="0"/>
        </w:rPr>
        <w:t xml:space="preserve">prospěl(a) s vyznamenáním – </w:t>
      </w:r>
      <w:r w:rsidDel="00000000" w:rsidR="00000000" w:rsidRPr="00000000">
        <w:rPr>
          <w:rFonts w:ascii="Open Sans" w:cs="Open Sans" w:eastAsia="Open Sans" w:hAnsi="Open Sans"/>
          <w:highlight w:val="white"/>
          <w:rtl w:val="0"/>
        </w:rPr>
        <w:t xml:space="preserve">tento stupeň se u nás nepoužívá;</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highlight w:val="white"/>
          <w:vertAlign w:val="baseline"/>
        </w:rPr>
      </w:pPr>
      <w:r w:rsidDel="00000000" w:rsidR="00000000" w:rsidRPr="00000000">
        <w:rPr>
          <w:rFonts w:ascii="Open Sans" w:cs="Open Sans" w:eastAsia="Open Sans" w:hAnsi="Open Sans"/>
          <w:highlight w:val="white"/>
          <w:rtl w:val="0"/>
        </w:rPr>
        <w:t xml:space="preserve">p</w:t>
      </w:r>
      <w:r w:rsidDel="00000000" w:rsidR="00000000" w:rsidRPr="00000000">
        <w:rPr>
          <w:rFonts w:ascii="Open Sans" w:cs="Open Sans" w:eastAsia="Open Sans" w:hAnsi="Open Sans"/>
          <w:i w:val="0"/>
          <w:smallCaps w:val="0"/>
          <w:strike w:val="0"/>
          <w:color w:val="000000"/>
          <w:sz w:val="22"/>
          <w:szCs w:val="22"/>
          <w:highlight w:val="white"/>
          <w:u w:val="none"/>
          <w:vertAlign w:val="baseline"/>
          <w:rtl w:val="0"/>
        </w:rPr>
        <w:t xml:space="preserve">rospěl(a) – </w:t>
      </w:r>
      <w:r w:rsidDel="00000000" w:rsidR="00000000" w:rsidRPr="00000000">
        <w:rPr>
          <w:rFonts w:ascii="Open Sans" w:cs="Open Sans" w:eastAsia="Open Sans" w:hAnsi="Open Sans"/>
          <w:highlight w:val="white"/>
          <w:rtl w:val="0"/>
        </w:rPr>
        <w:t xml:space="preserve">pokud by v souhrnném hodnocení na konci prvního pololetí nebo v žádném z povinných předmětů stanovených školním vzdělávacím programem na konci druhého pololetí nebyl při postupu dle odstavce 4 hodnocen stupněm nedostatečný;</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i w:val="0"/>
          <w:smallCaps w:val="0"/>
          <w:strike w:val="0"/>
          <w:color w:val="000000"/>
          <w:sz w:val="22"/>
          <w:szCs w:val="22"/>
          <w:highlight w:val="white"/>
          <w:vertAlign w:val="baseline"/>
        </w:rPr>
      </w:pPr>
      <w:r w:rsidDel="00000000" w:rsidR="00000000" w:rsidRPr="00000000">
        <w:rPr>
          <w:rFonts w:ascii="Open Sans" w:cs="Open Sans" w:eastAsia="Open Sans" w:hAnsi="Open Sans"/>
          <w:i w:val="0"/>
          <w:smallCaps w:val="0"/>
          <w:strike w:val="0"/>
          <w:color w:val="000000"/>
          <w:sz w:val="22"/>
          <w:szCs w:val="22"/>
          <w:highlight w:val="white"/>
          <w:u w:val="none"/>
          <w:vertAlign w:val="baseline"/>
          <w:rtl w:val="0"/>
        </w:rPr>
        <w:t xml:space="preserve">neprospěl(a) – </w:t>
      </w:r>
      <w:r w:rsidDel="00000000" w:rsidR="00000000" w:rsidRPr="00000000">
        <w:rPr>
          <w:rFonts w:ascii="Open Sans" w:cs="Open Sans" w:eastAsia="Open Sans" w:hAnsi="Open Sans"/>
          <w:highlight w:val="white"/>
          <w:rtl w:val="0"/>
        </w:rPr>
        <w:t xml:space="preserve">pokud by v souhrnném hodnocení na konci prvního pololetí byl při postupu dle odstavce 4 hodnocen stupněm nedostatečný, nebo neprospěl-li na konci druhého pololetí v některém z povinných předmětů, nebo nebyl-li žák na konci druhého pololetí hodnocen v některém z povinných předmětů ani v náhradním termínu stanoveném ředitelem školy;</w:t>
      </w:r>
    </w:p>
    <w:p w:rsidR="00000000" w:rsidDel="00000000" w:rsidP="00000000" w:rsidRDefault="00000000" w:rsidRPr="00000000" w14:paraId="0000005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Nehodnocen(a) - není-li žáka na konci prvního pololetí možné hodnotit z některého z povinných předmětů stanovených školním vzdělávacím programem ani v náhradním termínu stanoveném ředitelem školy.</w:t>
      </w:r>
    </w:p>
    <w:p w:rsidR="00000000" w:rsidDel="00000000" w:rsidP="00000000" w:rsidRDefault="00000000" w:rsidRPr="00000000" w14:paraId="00000052">
      <w:pPr>
        <w:pageBreakBefore w:val="0"/>
        <w:widowControl w:val="0"/>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53">
      <w:pPr>
        <w:pageBreakBefore w:val="0"/>
        <w:widowControl w:val="0"/>
        <w:numPr>
          <w:ilvl w:val="0"/>
          <w:numId w:val="1"/>
        </w:numPr>
        <w:ind w:left="720" w:hanging="360"/>
        <w:jc w:val="both"/>
        <w:rPr>
          <w:rFonts w:ascii="Open Sans" w:cs="Open Sans" w:eastAsia="Open Sans" w:hAnsi="Open Sans"/>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w:t>
      </w:r>
      <w:r w:rsidDel="00000000" w:rsidR="00000000" w:rsidRPr="00000000">
        <w:rPr>
          <w:rFonts w:ascii="Open Sans" w:cs="Open Sans" w:eastAsia="Open Sans" w:hAnsi="Open Sans"/>
          <w:rtl w:val="0"/>
        </w:rPr>
        <w:t xml:space="preserve">přezkoumání hodnocení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žáka</w:t>
      </w:r>
      <w:r w:rsidDel="00000000" w:rsidR="00000000" w:rsidRPr="00000000">
        <w:rPr>
          <w:rFonts w:ascii="Open Sans" w:cs="Open Sans" w:eastAsia="Open Sans" w:hAnsi="Open Sans"/>
          <w:rtl w:val="0"/>
        </w:rPr>
        <w:t xml:space="preserve">; je-li vyučujícím žáka v daném předmětu ředitel školy, pak krajský úřad. Pokud není dále stanoveno jinak, ředitel školy nebo krajský úřad nařídí komisionální přezkoušení žáka, které se koná nejpozději do 14 dnů od doručení žádosti nebo v termínu dohodnutém se zákonným zástupcem žáka. Komisi pro komisionální přezkoušení</w:t>
      </w:r>
      <w:hyperlink r:id="rId6">
        <w:r w:rsidDel="00000000" w:rsidR="00000000" w:rsidRPr="00000000">
          <w:rPr>
            <w:rFonts w:ascii="Open Sans" w:cs="Open Sans" w:eastAsia="Open Sans" w:hAnsi="Open Sans"/>
            <w:rtl w:val="0"/>
          </w:rPr>
          <w:t xml:space="preserve"> </w:t>
        </w:r>
      </w:hyperlink>
      <w:r w:rsidDel="00000000" w:rsidR="00000000" w:rsidRPr="00000000">
        <w:rPr>
          <w:rFonts w:ascii="Open Sans" w:cs="Open Sans" w:eastAsia="Open Sans" w:hAnsi="Open Sans"/>
          <w:rtl w:val="0"/>
        </w:rPr>
        <w:t xml:space="preserve">jmenuje ředitel školy; v případě, že je vyučujícím daného předmětu ředitel školy, jmenuje komisi krajský úřad. Vykonáním přezkoušení není dotčena možnost vykonat opravnou zkoušku.</w:t>
      </w:r>
    </w:p>
    <w:p w:rsidR="00000000" w:rsidDel="00000000" w:rsidP="00000000" w:rsidRDefault="00000000" w:rsidRPr="00000000" w14:paraId="00000054">
      <w:pPr>
        <w:pageBreakBefore w:val="0"/>
        <w:widowControl w:val="0"/>
        <w:ind w:left="72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55">
      <w:pPr>
        <w:pageBreakBefore w:val="0"/>
        <w:widowControl w:val="0"/>
        <w:numPr>
          <w:ilvl w:val="0"/>
          <w:numId w:val="1"/>
        </w:numPr>
        <w:spacing w:after="100" w:lineRule="auto"/>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V případě, že se žádost o přezkoumání výsledků hodnocení žáka týká hodnocení chování nebo předmětů výchovného zaměření, posoudí ředitel školy, a je-li vyučujícím žáka v daném předmětu ředitel školy, pak krajský úřad, dodržení těchto pravidel pro hodnocení výsledků vzdělávání žáka.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w:t>
      </w:r>
      <w:r w:rsidDel="00000000" w:rsidR="00000000" w:rsidRPr="00000000">
        <w:rPr>
          <w:rtl w:val="0"/>
        </w:rPr>
      </w:r>
    </w:p>
    <w:p w:rsidR="00000000" w:rsidDel="00000000" w:rsidP="00000000" w:rsidRDefault="00000000" w:rsidRPr="00000000" w14:paraId="00000056">
      <w:pPr>
        <w:pageBreakBefore w:val="0"/>
        <w:widowControl w:val="0"/>
        <w:numPr>
          <w:ilvl w:val="0"/>
          <w:numId w:val="1"/>
        </w:numPr>
        <w:spacing w:after="100" w:lineRule="auto"/>
        <w:ind w:left="720" w:hanging="360"/>
        <w:jc w:val="both"/>
        <w:rPr>
          <w:rFonts w:ascii="Open Sans" w:cs="Open Sans" w:eastAsia="Open Sans" w:hAnsi="Open Sans"/>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Chování žáka je hodnoceno slovně. Při převodu slovního hodnocení cho</w:t>
      </w:r>
      <w:r w:rsidDel="00000000" w:rsidR="00000000" w:rsidRPr="00000000">
        <w:rPr>
          <w:rFonts w:ascii="Open Sans" w:cs="Open Sans" w:eastAsia="Open Sans" w:hAnsi="Open Sans"/>
          <w:rtl w:val="0"/>
        </w:rPr>
        <w:t xml:space="preserve">vání na klasifikaci se použije následující stupnice:</w:t>
      </w:r>
    </w:p>
    <w:p w:rsidR="00000000" w:rsidDel="00000000" w:rsidP="00000000" w:rsidRDefault="00000000" w:rsidRPr="00000000" w14:paraId="00000057">
      <w:pPr>
        <w:pageBreakBefore w:val="0"/>
        <w:widowControl w:val="0"/>
        <w:ind w:left="720" w:firstLine="0"/>
        <w:jc w:val="both"/>
        <w:rPr>
          <w:rFonts w:ascii="Open Sans" w:cs="Open Sans" w:eastAsia="Open Sans" w:hAnsi="Open Sans"/>
        </w:rPr>
      </w:pPr>
      <w:r w:rsidDel="00000000" w:rsidR="00000000" w:rsidRPr="00000000">
        <w:rPr>
          <w:rtl w:val="0"/>
        </w:rPr>
      </w:r>
    </w:p>
    <w:tbl>
      <w:tblPr>
        <w:tblStyle w:val="Table2"/>
        <w:tblW w:w="9638.0" w:type="dxa"/>
        <w:jc w:val="left"/>
        <w:tblInd w:w="-59.0" w:type="dxa"/>
        <w:tblBorders>
          <w:top w:color="808080" w:space="0" w:sz="2" w:val="single"/>
          <w:left w:color="808080" w:space="0" w:sz="2" w:val="single"/>
          <w:bottom w:color="808080" w:space="0" w:sz="2" w:val="single"/>
          <w:right w:color="808080" w:space="0" w:sz="2" w:val="single"/>
          <w:insideH w:color="808080" w:space="0" w:sz="2" w:val="single"/>
          <w:insideV w:color="808080" w:space="0" w:sz="2" w:val="single"/>
        </w:tblBorders>
        <w:tblLayout w:type="fixed"/>
        <w:tblLook w:val="0000"/>
      </w:tblPr>
      <w:tblGrid>
        <w:gridCol w:w="2040"/>
        <w:gridCol w:w="7598"/>
        <w:tblGridChange w:id="0">
          <w:tblGrid>
            <w:gridCol w:w="2040"/>
            <w:gridCol w:w="7598"/>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shd w:fill="auto" w:val="clear"/>
            <w:vAlign w:val="center"/>
          </w:tcPr>
          <w:p w:rsidR="00000000" w:rsidDel="00000000" w:rsidP="00000000" w:rsidRDefault="00000000" w:rsidRPr="00000000" w14:paraId="00000058">
            <w:pPr>
              <w:pageBreakBefore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1 – velmi dobré</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59">
            <w:pPr>
              <w:pageBreakBefore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Žák uvědoměle dodržuje pravidla chování a ustanovení školního řádu školy. Méně závažných přestupků se dopouští ojediněle. Žák je však přístupný výchovnému působení a snaží se své chyby napravit.</w:t>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auto" w:val="clear"/>
            <w:vAlign w:val="center"/>
          </w:tcPr>
          <w:p w:rsidR="00000000" w:rsidDel="00000000" w:rsidP="00000000" w:rsidRDefault="00000000" w:rsidRPr="00000000" w14:paraId="0000005A">
            <w:pPr>
              <w:pageBreakBefore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2 - uspokojivé</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5B">
            <w:pPr>
              <w:pageBreakBefore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Chování žáka je v rozporu s pravidly chování a s ustanoveními školního řádu. Žák se dopustí závažného přestupku proti pravidlům slušného chování nebo vnitřnímu řádu školy; nebo se opakovaně dopustí méně závažných přestupků; narušuje výchovně vzdělávací činnost školy. Ohrožuje bezpečnost a zdraví svoje nebo jiných osob.</w:t>
            </w:r>
          </w:p>
        </w:tc>
      </w:tr>
      <w:tr>
        <w:trPr>
          <w:cantSplit w:val="0"/>
          <w:tblHeader w:val="0"/>
        </w:trPr>
        <w:tc>
          <w:tcPr>
            <w:tcBorders>
              <w:top w:color="808080" w:space="0" w:sz="4" w:val="single"/>
              <w:left w:color="808080" w:space="0" w:sz="4" w:val="single"/>
              <w:bottom w:color="808080" w:space="0" w:sz="4" w:val="single"/>
              <w:right w:color="808080" w:space="0" w:sz="4" w:val="single"/>
            </w:tcBorders>
            <w:shd w:fill="auto" w:val="clear"/>
            <w:vAlign w:val="center"/>
          </w:tcPr>
          <w:p w:rsidR="00000000" w:rsidDel="00000000" w:rsidP="00000000" w:rsidRDefault="00000000" w:rsidRPr="00000000" w14:paraId="0000005C">
            <w:pPr>
              <w:pageBreakBefore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3 - neuspokojivé</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5D">
            <w:pPr>
              <w:pageBreakBefore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w:t>
            </w:r>
          </w:p>
        </w:tc>
      </w:tr>
    </w:tbl>
    <w:p w:rsidR="00000000" w:rsidDel="00000000" w:rsidP="00000000" w:rsidRDefault="00000000" w:rsidRPr="00000000" w14:paraId="0000005E">
      <w:pPr>
        <w:pStyle w:val="Heading2"/>
        <w:pageBreakBefore w:val="0"/>
        <w:rPr>
          <w:rFonts w:ascii="Open Sans" w:cs="Open Sans" w:eastAsia="Open Sans" w:hAnsi="Open Sans"/>
        </w:rPr>
      </w:pPr>
      <w:r w:rsidDel="00000000" w:rsidR="00000000" w:rsidRPr="00000000">
        <w:rPr>
          <w:rFonts w:ascii="Open Sans" w:cs="Open Sans" w:eastAsia="Open Sans" w:hAnsi="Open Sans"/>
          <w:rtl w:val="0"/>
        </w:rPr>
        <w:t xml:space="preserve">Článek VIII. Závěrečná ustanovení</w:t>
      </w:r>
    </w:p>
    <w:p w:rsidR="00000000" w:rsidDel="00000000" w:rsidP="00000000" w:rsidRDefault="00000000" w:rsidRPr="00000000" w14:paraId="000000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T</w:t>
      </w:r>
      <w:r w:rsidDel="00000000" w:rsidR="00000000" w:rsidRPr="00000000">
        <w:rPr>
          <w:rFonts w:ascii="Open Sans" w:cs="Open Sans" w:eastAsia="Open Sans" w:hAnsi="Open Sans"/>
          <w:rtl w:val="0"/>
        </w:rPr>
        <w:t xml:space="preserve">ato pravidla jsou přílohou školního řádu a jeho nedílnou součástí.</w:t>
      </w: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after="100" w:lineRule="auto"/>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61">
      <w:pPr>
        <w:pageBreakBefore w:val="0"/>
        <w:widowControl w:val="0"/>
        <w:pBdr>
          <w:top w:space="0" w:sz="0" w:val="nil"/>
          <w:left w:space="0" w:sz="0" w:val="nil"/>
          <w:bottom w:space="0" w:sz="0" w:val="nil"/>
          <w:right w:space="0" w:sz="0" w:val="nil"/>
          <w:between w:space="0" w:sz="0" w:val="nil"/>
        </w:pBdr>
        <w:spacing w:after="10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2">
      <w:pPr>
        <w:widowControl w:val="0"/>
        <w:spacing w:after="100" w:lineRule="auto"/>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Tento školní řád je účinný dnem vydání.</w:t>
      </w:r>
    </w:p>
    <w:p w:rsidR="00000000" w:rsidDel="00000000" w:rsidP="00000000" w:rsidRDefault="00000000" w:rsidRPr="00000000" w14:paraId="00000063">
      <w:pPr>
        <w:widowControl w:val="0"/>
        <w:spacing w:after="100" w:lineRule="auto"/>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Vydáno dne 1.9.2025</w:t>
      </w:r>
    </w:p>
    <w:p w:rsidR="00000000" w:rsidDel="00000000" w:rsidP="00000000" w:rsidRDefault="00000000" w:rsidRPr="00000000" w14:paraId="00000064">
      <w:pPr>
        <w:widowControl w:val="0"/>
        <w:spacing w:after="100" w:lineRule="auto"/>
        <w:ind w:left="720" w:hanging="36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65">
      <w:pPr>
        <w:widowControl w:val="0"/>
        <w:spacing w:after="100" w:lineRule="auto"/>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Projednáno pedagogickou radou dne 23. 9. 2025</w:t>
      </w:r>
    </w:p>
    <w:p w:rsidR="00000000" w:rsidDel="00000000" w:rsidP="00000000" w:rsidRDefault="00000000" w:rsidRPr="00000000" w14:paraId="00000066">
      <w:pPr>
        <w:widowControl w:val="0"/>
        <w:spacing w:after="100" w:lineRule="auto"/>
        <w:ind w:left="720" w:hanging="36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67">
      <w:pPr>
        <w:widowControl w:val="0"/>
        <w:spacing w:after="100" w:lineRule="auto"/>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Schváleno školskou radou dne 23. 9. 2025</w:t>
      </w:r>
    </w:p>
    <w:p w:rsidR="00000000" w:rsidDel="00000000" w:rsidP="00000000" w:rsidRDefault="00000000" w:rsidRPr="00000000" w14:paraId="00000068">
      <w:pPr>
        <w:widowControl w:val="0"/>
        <w:spacing w:after="100" w:lineRule="auto"/>
        <w:ind w:left="720" w:hanging="36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69">
      <w:pPr>
        <w:widowControl w:val="0"/>
        <w:spacing w:after="100" w:lineRule="auto"/>
        <w:ind w:left="36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6A">
      <w:pPr>
        <w:widowControl w:val="0"/>
        <w:spacing w:after="100" w:lineRule="auto"/>
        <w:ind w:left="720" w:hanging="360"/>
        <w:jc w:val="right"/>
        <w:rPr>
          <w:rFonts w:ascii="Open Sans" w:cs="Open Sans" w:eastAsia="Open Sans" w:hAnsi="Open Sans"/>
        </w:rPr>
      </w:pPr>
      <w:r w:rsidDel="00000000" w:rsidR="00000000" w:rsidRPr="00000000">
        <w:rPr>
          <w:rFonts w:ascii="Open Sans" w:cs="Open Sans" w:eastAsia="Open Sans" w:hAnsi="Open Sans"/>
          <w:rtl w:val="0"/>
        </w:rPr>
        <w:t xml:space="preserve">V Plzni dne 23.9.2025</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after="100" w:lineRule="auto"/>
        <w:jc w:val="right"/>
        <w:rPr>
          <w:rFonts w:ascii="Open Sans" w:cs="Open Sans" w:eastAsia="Open Sans" w:hAnsi="Open Sans"/>
          <w:color w:val="000000"/>
        </w:rPr>
      </w:pPr>
      <w:r w:rsidDel="00000000" w:rsidR="00000000" w:rsidRPr="00000000">
        <w:rPr>
          <w:rFonts w:ascii="Open Sans" w:cs="Open Sans" w:eastAsia="Open Sans" w:hAnsi="Open Sans"/>
          <w:rtl w:val="0"/>
        </w:rPr>
        <w:t xml:space="preserve">_</w:t>
      </w:r>
      <w:r w:rsidDel="00000000" w:rsidR="00000000" w:rsidRPr="00000000">
        <w:rPr>
          <w:rtl w:val="0"/>
        </w:rPr>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after="100" w:lineRule="auto"/>
        <w:jc w:val="right"/>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6D">
      <w:pPr>
        <w:pageBreakBefore w:val="0"/>
        <w:widowControl w:val="0"/>
        <w:pBdr>
          <w:top w:space="0" w:sz="0" w:val="nil"/>
          <w:left w:space="0" w:sz="0" w:val="nil"/>
          <w:bottom w:space="0" w:sz="0" w:val="nil"/>
          <w:right w:space="0" w:sz="0" w:val="nil"/>
          <w:between w:space="0" w:sz="0" w:val="nil"/>
        </w:pBdr>
        <w:spacing w:after="100" w:lineRule="auto"/>
        <w:jc w:val="right"/>
        <w:rPr>
          <w:rFonts w:ascii="Open Sans" w:cs="Open Sans" w:eastAsia="Open Sans" w:hAnsi="Open Sans"/>
        </w:rPr>
      </w:pPr>
      <w:r w:rsidDel="00000000" w:rsidR="00000000" w:rsidRPr="00000000">
        <w:rPr>
          <w:rFonts w:ascii="Open Sans" w:cs="Open Sans" w:eastAsia="Open Sans" w:hAnsi="Open Sans"/>
          <w:rtl w:val="0"/>
        </w:rPr>
        <w:t xml:space="preserve">Zuzana Buriánová, Kateřina Vodrážková</w:t>
      </w:r>
    </w:p>
    <w:p w:rsidR="00000000" w:rsidDel="00000000" w:rsidP="00000000" w:rsidRDefault="00000000" w:rsidRPr="00000000" w14:paraId="0000006E">
      <w:pPr>
        <w:pageBreakBefore w:val="0"/>
        <w:widowControl w:val="0"/>
        <w:pBdr>
          <w:top w:space="0" w:sz="0" w:val="nil"/>
          <w:left w:space="0" w:sz="0" w:val="nil"/>
          <w:bottom w:space="0" w:sz="0" w:val="nil"/>
          <w:right w:space="0" w:sz="0" w:val="nil"/>
          <w:between w:space="0" w:sz="0" w:val="nil"/>
        </w:pBdr>
        <w:spacing w:after="100" w:lineRule="auto"/>
        <w:jc w:val="right"/>
        <w:rPr>
          <w:rFonts w:ascii="Open Sans" w:cs="Open Sans" w:eastAsia="Open Sans" w:hAnsi="Open Sans"/>
        </w:rPr>
      </w:pPr>
      <w:r w:rsidDel="00000000" w:rsidR="00000000" w:rsidRPr="00000000">
        <w:rPr>
          <w:rFonts w:ascii="Open Sans" w:cs="Open Sans" w:eastAsia="Open Sans" w:hAnsi="Open Sans"/>
          <w:rtl w:val="0"/>
        </w:rPr>
        <w:t xml:space="preserve">vedení školy </w:t>
      </w:r>
    </w:p>
    <w:sectPr>
      <w:headerReference r:id="rId7" w:type="default"/>
      <w:pgSz w:h="15840" w:w="12240" w:orient="portrait"/>
      <w:pgMar w:bottom="1440" w:top="1842.51968503937" w:left="1440" w:right="1440" w:header="40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shd w:fill="ffffff" w:val="clear"/>
      <w:tabs>
        <w:tab w:val="center" w:leader="none" w:pos="4536"/>
        <w:tab w:val="right" w:leader="none" w:pos="9072"/>
      </w:tabs>
      <w:spacing w:after="240" w:line="240" w:lineRule="auto"/>
      <w:ind w:left="720" w:firstLine="0"/>
      <w:jc w:val="right"/>
      <w:rPr>
        <w:rFonts w:ascii="Roboto" w:cs="Roboto" w:eastAsia="Roboto" w:hAnsi="Roboto"/>
        <w:color w:val="4f4f4f"/>
        <w:sz w:val="24"/>
        <w:szCs w:val="24"/>
      </w:rPr>
    </w:pPr>
    <w:r w:rsidDel="00000000" w:rsidR="00000000" w:rsidRPr="00000000">
      <w:rPr>
        <w:rFonts w:ascii="Roboto" w:cs="Roboto" w:eastAsia="Roboto" w:hAnsi="Roboto"/>
        <w:color w:val="4f4f4f"/>
        <w:sz w:val="24"/>
        <w:szCs w:val="24"/>
      </w:rPr>
      <w:drawing>
        <wp:inline distB="114300" distT="114300" distL="114300" distR="114300">
          <wp:extent cx="1978126" cy="5095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78126" cy="509588"/>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hd w:fill="ffffff" w:val="clear"/>
      <w:tabs>
        <w:tab w:val="center" w:leader="none" w:pos="4536"/>
        <w:tab w:val="right" w:leader="none" w:pos="9072"/>
      </w:tabs>
      <w:spacing w:after="240" w:line="240" w:lineRule="auto"/>
      <w:ind w:left="0" w:firstLine="0"/>
      <w:rPr>
        <w:rFonts w:ascii="Roboto" w:cs="Roboto" w:eastAsia="Roboto" w:hAnsi="Roboto"/>
        <w:color w:val="4f4f4f"/>
        <w:sz w:val="24"/>
        <w:szCs w:val="24"/>
      </w:rPr>
    </w:pPr>
    <w:r w:rsidDel="00000000" w:rsidR="00000000" w:rsidRPr="00000000">
      <w:rPr>
        <w:rFonts w:ascii="Roboto" w:cs="Roboto" w:eastAsia="Roboto" w:hAnsi="Roboto"/>
        <w:color w:val="4f4f4f"/>
        <w:sz w:val="24"/>
        <w:szCs w:val="24"/>
        <w:rtl w:val="0"/>
      </w:rPr>
      <w:t xml:space="preserve">ScioŠkola Plzeň - základní škola, s.r.o.</w:t>
    </w:r>
  </w:p>
  <w:p w:rsidR="00000000" w:rsidDel="00000000" w:rsidP="00000000" w:rsidRDefault="00000000" w:rsidRPr="00000000" w14:paraId="00000071">
    <w:pPr>
      <w:shd w:fill="ffffff" w:val="clear"/>
      <w:tabs>
        <w:tab w:val="center" w:leader="none" w:pos="4536"/>
        <w:tab w:val="right" w:leader="none" w:pos="9072"/>
      </w:tabs>
      <w:spacing w:after="240" w:line="240" w:lineRule="auto"/>
      <w:ind w:left="0" w:firstLine="0"/>
      <w:rPr>
        <w:rFonts w:ascii="Roboto" w:cs="Roboto" w:eastAsia="Roboto" w:hAnsi="Roboto"/>
        <w:color w:val="4f4f4f"/>
        <w:sz w:val="24"/>
        <w:szCs w:val="24"/>
      </w:rPr>
    </w:pPr>
    <w:r w:rsidDel="00000000" w:rsidR="00000000" w:rsidRPr="00000000">
      <w:rPr>
        <w:rFonts w:ascii="Roboto" w:cs="Roboto" w:eastAsia="Roboto" w:hAnsi="Roboto"/>
        <w:color w:val="4f4f4f"/>
        <w:sz w:val="24"/>
        <w:szCs w:val="24"/>
        <w:rtl w:val="0"/>
      </w:rPr>
      <w:t xml:space="preserve">Alej Svobody 703/31, 323 00 Plzeň </w:t>
    </w:r>
  </w:p>
  <w:p w:rsidR="00000000" w:rsidDel="00000000" w:rsidP="00000000" w:rsidRDefault="00000000" w:rsidRPr="00000000" w14:paraId="00000072">
    <w:pPr>
      <w:shd w:fill="ffffff" w:val="clear"/>
      <w:tabs>
        <w:tab w:val="center" w:leader="none" w:pos="4536"/>
        <w:tab w:val="right" w:leader="none" w:pos="9072"/>
      </w:tabs>
      <w:spacing w:after="240" w:line="240" w:lineRule="auto"/>
      <w:ind w:left="0" w:firstLine="0"/>
      <w:rPr>
        <w:rFonts w:ascii="Roboto" w:cs="Roboto" w:eastAsia="Roboto" w:hAnsi="Roboto"/>
        <w:color w:val="4f4f4f"/>
        <w:sz w:val="24"/>
        <w:szCs w:val="24"/>
      </w:rPr>
    </w:pPr>
    <w:r w:rsidDel="00000000" w:rsidR="00000000" w:rsidRPr="00000000">
      <w:rPr>
        <w:rFonts w:ascii="Roboto" w:cs="Roboto" w:eastAsia="Roboto" w:hAnsi="Roboto"/>
        <w:color w:val="4f4f4f"/>
        <w:sz w:val="24"/>
        <w:szCs w:val="24"/>
        <w:rtl w:val="0"/>
      </w:rPr>
      <w:t xml:space="preserve">IČO: 08393885</w:t>
    </w:r>
  </w:p>
  <w:p w:rsidR="00000000" w:rsidDel="00000000" w:rsidP="00000000" w:rsidRDefault="00000000" w:rsidRPr="00000000" w14:paraId="00000073">
    <w:pPr>
      <w:tabs>
        <w:tab w:val="center" w:leader="none" w:pos="4536"/>
        <w:tab w:val="right" w:leader="none" w:pos="9072"/>
      </w:tabs>
      <w:spacing w:line="240" w:lineRule="auto"/>
      <w:rPr/>
    </w:pPr>
    <w:r w:rsidDel="00000000" w:rsidR="00000000" w:rsidRPr="00000000">
      <w:rPr>
        <w:rtl w:val="0"/>
      </w:rPr>
    </w:r>
  </w:p>
  <w:p w:rsidR="00000000" w:rsidDel="00000000" w:rsidP="00000000" w:rsidRDefault="00000000" w:rsidRPr="00000000" w14:paraId="00000074">
    <w:pPr>
      <w:tabs>
        <w:tab w:val="center" w:leader="none" w:pos="4536"/>
        <w:tab w:val="right" w:leader="none" w:pos="9072"/>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CZ"/>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jc w:val="center"/>
    </w:pPr>
    <w:rPr>
      <w:rFonts w:ascii="Quattrocento Sans" w:cs="Quattrocento Sans" w:eastAsia="Quattrocento Sans" w:hAnsi="Quattrocento Sans"/>
      <w:color w:val="7f7f7f"/>
      <w:sz w:val="32"/>
      <w:szCs w:val="32"/>
    </w:rPr>
  </w:style>
  <w:style w:type="paragraph" w:styleId="Heading2">
    <w:name w:val="heading 2"/>
    <w:basedOn w:val="Normal"/>
    <w:next w:val="Normal"/>
    <w:pPr>
      <w:keepNext w:val="1"/>
      <w:keepLines w:val="1"/>
      <w:pageBreakBefore w:val="0"/>
      <w:spacing w:after="80" w:before="360" w:lineRule="auto"/>
      <w:jc w:val="center"/>
    </w:pPr>
    <w:rPr>
      <w:rFonts w:ascii="Quattrocento Sans" w:cs="Quattrocento Sans" w:eastAsia="Quattrocento Sans" w:hAnsi="Quattrocento Sans"/>
      <w:color w:val="808080"/>
      <w:sz w:val="28"/>
      <w:szCs w:val="28"/>
    </w:rPr>
  </w:style>
  <w:style w:type="paragraph" w:styleId="Heading3">
    <w:name w:val="heading 3"/>
    <w:basedOn w:val="Normal"/>
    <w:next w:val="Normal"/>
    <w:pPr>
      <w:keepNext w:val="1"/>
      <w:keepLines w:val="1"/>
      <w:pageBreakBefore w:val="0"/>
      <w:spacing w:after="80" w:before="280" w:lineRule="auto"/>
    </w:pPr>
    <w:rPr>
      <w:rFonts w:ascii="Quattrocento Sans" w:cs="Quattrocento Sans" w:eastAsia="Quattrocento Sans" w:hAnsi="Quattrocento Sans"/>
      <w:b w:val="1"/>
      <w:color w:val="80808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60.0" w:type="dxa"/>
        <w:left w:w="59.0" w:type="dxa"/>
        <w:bottom w:w="60.0" w:type="dxa"/>
        <w:right w:w="60.0" w:type="dxa"/>
      </w:tblCellMar>
    </w:tblPr>
  </w:style>
  <w:style w:type="table" w:styleId="Table2">
    <w:basedOn w:val="TableNormal"/>
    <w:tblPr>
      <w:tblStyleRowBandSize w:val="1"/>
      <w:tblStyleColBandSize w:val="1"/>
      <w:tblCellMar>
        <w:top w:w="60.0" w:type="dxa"/>
        <w:left w:w="59.0" w:type="dxa"/>
        <w:bottom w:w="60.0" w:type="dxa"/>
        <w:right w:w="6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pp.codexis.cz/doc/CR/11660#L233"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